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4482A" w:rsidRPr="00E4482A" w:rsidTr="00E4482A">
        <w:tc>
          <w:tcPr>
            <w:tcW w:w="5000" w:type="pct"/>
            <w:shd w:val="clear" w:color="auto" w:fill="FFFFFF"/>
            <w:vAlign w:val="center"/>
            <w:hideMark/>
          </w:tcPr>
          <w:p w:rsidR="00E4482A" w:rsidRPr="00E4482A" w:rsidRDefault="00E4482A" w:rsidP="00447571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Порядок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розгляду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(з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дотриманням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конфіденційності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)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заяв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)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закладі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, порядок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реагування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доведені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)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відповідальність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причетних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).</w:t>
            </w:r>
          </w:p>
        </w:tc>
      </w:tr>
    </w:tbl>
    <w:p w:rsidR="00E4482A" w:rsidRPr="00E4482A" w:rsidRDefault="00E4482A" w:rsidP="00447571">
      <w:pPr>
        <w:spacing w:after="0" w:line="360" w:lineRule="auto"/>
        <w:ind w:firstLine="85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4482A" w:rsidRPr="00E4482A" w:rsidTr="00E4482A">
        <w:tc>
          <w:tcPr>
            <w:tcW w:w="0" w:type="auto"/>
            <w:shd w:val="clear" w:color="auto" w:fill="FFFFFF"/>
            <w:hideMark/>
          </w:tcPr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батьки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свідками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стали,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підозрюють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ознаками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отримали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достовірну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скликає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визнала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сварка,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то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(ювенальна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Службу у справах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кваліфікує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випадок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згодний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порядок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причетних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процедуру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КУпАП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до 100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до 40 годин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вчинено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штраф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становитиме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до 200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до 60 годин.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малолітньою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неповнолітньою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штрафу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заяви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spellEnd"/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вказуються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реквізитів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виправлень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довільній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7571" w:rsidRP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4482A" w:rsidRDefault="00E4482A" w:rsidP="00447571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1F5F" w:rsidRDefault="00071F5F" w:rsidP="00447571">
            <w:pPr>
              <w:spacing w:before="75" w:after="75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заяви</w:t>
            </w:r>
          </w:p>
          <w:p w:rsidR="00071F5F" w:rsidRPr="00071F5F" w:rsidRDefault="00071F5F" w:rsidP="00447571">
            <w:pPr>
              <w:spacing w:before="75" w:after="75"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Директору</w:t>
            </w:r>
          </w:p>
          <w:p w:rsidR="00071F5F" w:rsidRPr="00071F5F" w:rsidRDefault="00071F5F" w:rsidP="00447571">
            <w:pPr>
              <w:spacing w:before="75" w:after="75"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НВК «</w:t>
            </w:r>
            <w:proofErr w:type="spellStart"/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Балтська</w:t>
            </w:r>
            <w:proofErr w:type="spellEnd"/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ЗОШ </w:t>
            </w: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І-ІІІ ст.</w:t>
            </w:r>
          </w:p>
          <w:p w:rsidR="00071F5F" w:rsidRPr="00071F5F" w:rsidRDefault="00071F5F" w:rsidP="00447571">
            <w:pPr>
              <w:spacing w:before="75" w:after="75"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№3 – колегіум»</w:t>
            </w:r>
          </w:p>
          <w:p w:rsidR="00071F5F" w:rsidRPr="00071F5F" w:rsidRDefault="00071F5F" w:rsidP="00447571">
            <w:pPr>
              <w:spacing w:before="75" w:after="75"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Капкіній</w:t>
            </w:r>
            <w:proofErr w:type="spellEnd"/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Ж.В.</w:t>
            </w:r>
          </w:p>
          <w:p w:rsidR="00071F5F" w:rsidRDefault="00071F5F" w:rsidP="00447571">
            <w:pPr>
              <w:tabs>
                <w:tab w:val="left" w:pos="6732"/>
                <w:tab w:val="center" w:pos="8332"/>
              </w:tabs>
              <w:spacing w:after="0" w:line="240" w:lineRule="auto"/>
              <w:ind w:firstLine="62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  <w:t>_________________</w:t>
            </w:r>
          </w:p>
          <w:p w:rsidR="00071F5F" w:rsidRPr="00071F5F" w:rsidRDefault="00071F5F" w:rsidP="00447571">
            <w:pPr>
              <w:spacing w:after="0"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(ПІБ заявника)</w:t>
            </w:r>
          </w:p>
          <w:p w:rsidR="00071F5F" w:rsidRDefault="00071F5F" w:rsidP="00447571">
            <w:pPr>
              <w:spacing w:after="0" w:line="240" w:lineRule="auto"/>
              <w:ind w:firstLine="628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</w:t>
            </w:r>
          </w:p>
          <w:p w:rsidR="00071F5F" w:rsidRDefault="00071F5F" w:rsidP="00447571">
            <w:pPr>
              <w:spacing w:line="240" w:lineRule="auto"/>
              <w:ind w:firstLine="6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(контактний телефон)</w:t>
            </w:r>
          </w:p>
          <w:p w:rsidR="00071F5F" w:rsidRPr="00071F5F" w:rsidRDefault="00071F5F" w:rsidP="004475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Заява</w:t>
            </w:r>
          </w:p>
          <w:p w:rsidR="00071F5F" w:rsidRPr="00071F5F" w:rsidRDefault="00071F5F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1F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провести розслідування за факта</w:t>
            </w:r>
            <w:r w:rsidR="007A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 випадків </w:t>
            </w:r>
            <w:proofErr w:type="spellStart"/>
            <w:r w:rsidR="007A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7A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(ць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кування) ________________________________________________________________________.</w:t>
            </w:r>
          </w:p>
          <w:p w:rsidR="00071F5F" w:rsidRPr="0024042C" w:rsidRDefault="00071F5F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val="uk-UA" w:eastAsia="ru-RU"/>
              </w:rPr>
            </w:pPr>
            <w:r w:rsidRPr="0024042C">
              <w:rPr>
                <w:rFonts w:ascii="Times New Roman" w:eastAsia="Times New Roman" w:hAnsi="Times New Roman" w:cs="Times New Roman"/>
                <w:bCs/>
                <w:szCs w:val="28"/>
                <w:lang w:val="uk-UA" w:eastAsia="ru-RU"/>
              </w:rPr>
              <w:t>(ПІБ постраждалого)</w:t>
            </w:r>
          </w:p>
          <w:p w:rsidR="00071F5F" w:rsidRDefault="0024042C" w:rsidP="00447571">
            <w:pPr>
              <w:spacing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Далі в заяві вказати особу або осіб, </w:t>
            </w:r>
            <w:r w:rsidR="007A6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які вчинили цькування та описати діяння, які полягають у психологічному,  фізичному та іншому насильстві над особою і носять системний характер.</w:t>
            </w:r>
          </w:p>
          <w:p w:rsidR="007A6AFB" w:rsidRDefault="007A6AFB" w:rsidP="00447571">
            <w:pPr>
              <w:spacing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__________                                                                         __________</w:t>
            </w:r>
          </w:p>
          <w:p w:rsidR="007A6AFB" w:rsidRDefault="007A6AFB" w:rsidP="00447571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Дата                                                                                 Підпис</w:t>
            </w: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71F5F" w:rsidRDefault="00071F5F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71F5F" w:rsidRDefault="00071F5F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Default="007A6AFB" w:rsidP="00447571">
            <w:pPr>
              <w:spacing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6AFB" w:rsidRPr="00071F5F" w:rsidRDefault="007A6AFB" w:rsidP="00447571">
            <w:pPr>
              <w:spacing w:after="75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lastRenderedPageBreak/>
              <w:t>Реагування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 xml:space="preserve">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>доведені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  <w:t>інгу</w:t>
            </w:r>
            <w:proofErr w:type="spellEnd"/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доведені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випадки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причетних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 У день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видається</w:t>
            </w:r>
            <w:proofErr w:type="spellEnd"/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 по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педагог),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скликається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сварка,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повідомляються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(ювенальна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превенція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Служба у справах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кваліфікує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випадок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згоден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одразу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звернутись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реєструються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зберігаються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паперовому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оригіналами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Кривдник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потерпілий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(жертва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за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спостерігачі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173-4.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учасника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(Кодекс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полягають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сексуальному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вчиняються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малолітньої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неповнолітньої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такою особою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освітнього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могла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заподіяна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шкода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психічному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фізичному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– 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п’ятдесяти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сорока годин.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– 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двохсот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шістдесяти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годин.</w:t>
            </w:r>
          </w:p>
          <w:p w:rsidR="00E4482A" w:rsidRP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малолітніми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неповнолітніми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особами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чотирнадцяти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шістнадцяти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– 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п’ятдесяти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строк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сорока годин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82A" w:rsidRDefault="00E4482A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малолітньою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неповнолітньою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чотирнадцяти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шістнадцяти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– 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собою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штрафу на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двохсот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неоподатковуваних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мінімумів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строк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</w:t>
            </w:r>
            <w:proofErr w:type="gram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шістдесяти</w:t>
            </w:r>
            <w:proofErr w:type="spellEnd"/>
            <w:r w:rsidRPr="00E4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годин.</w:t>
            </w:r>
          </w:p>
          <w:p w:rsid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7571" w:rsidRPr="009E5351" w:rsidRDefault="00447571" w:rsidP="0044757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>Процедура подання учасниками освітнього процесу</w:t>
            </w:r>
            <w:r w:rsidRPr="00A40E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заяв про випадок </w:t>
            </w:r>
            <w:proofErr w:type="spellStart"/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(цькування) та їх розгляд в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Балтській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загальноосвітній школі І-ІІІ </w:t>
            </w:r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>ступен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ів №3-колегіум</w:t>
            </w:r>
          </w:p>
          <w:p w:rsidR="00447571" w:rsidRPr="009E5351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E5351">
              <w:rPr>
                <w:color w:val="000000"/>
                <w:sz w:val="28"/>
                <w:szCs w:val="28"/>
                <w:lang w:val="uk-UA"/>
              </w:rPr>
              <w:t xml:space="preserve">Усі учасники освітнього процесу у разі виявлення випадків </w:t>
            </w:r>
            <w:proofErr w:type="spellStart"/>
            <w:r w:rsidRPr="009E5351">
              <w:rPr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9E5351">
              <w:rPr>
                <w:color w:val="000000"/>
                <w:sz w:val="28"/>
                <w:szCs w:val="28"/>
                <w:lang w:val="uk-UA"/>
              </w:rPr>
      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осіб, в обов’язковому порядку протягом дня повідомляють директора школи у письмовій формі – заява.</w:t>
            </w:r>
            <w:r w:rsidRPr="00A40E20">
              <w:rPr>
                <w:color w:val="000000"/>
                <w:sz w:val="28"/>
                <w:szCs w:val="28"/>
              </w:rPr>
              <w:t> </w:t>
            </w:r>
          </w:p>
          <w:p w:rsidR="00447571" w:rsidRPr="00561098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1098"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561098">
              <w:rPr>
                <w:color w:val="000000"/>
                <w:sz w:val="28"/>
                <w:szCs w:val="28"/>
                <w:lang w:val="uk-UA"/>
              </w:rPr>
              <w:t xml:space="preserve">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</w:t>
            </w:r>
            <w:r w:rsidRPr="00561098">
              <w:rPr>
                <w:color w:val="000000"/>
                <w:sz w:val="28"/>
                <w:szCs w:val="28"/>
                <w:lang w:val="uk-UA"/>
              </w:rPr>
              <w:lastRenderedPageBreak/>
              <w:t>малолітньої чи неповнолітньої особи або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 (</w:t>
            </w:r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173</w:t>
            </w:r>
            <w:r w:rsidRPr="00561098">
              <w:rPr>
                <w:b/>
                <w:bCs/>
                <w:color w:val="000000"/>
                <w:sz w:val="28"/>
                <w:szCs w:val="28"/>
                <w:vertAlign w:val="superscript"/>
                <w:lang w:val="uk-UA"/>
              </w:rPr>
              <w:t>-4</w:t>
            </w:r>
            <w:r w:rsidRPr="00561098">
              <w:rPr>
                <w:b/>
                <w:bCs/>
                <w:color w:val="000000"/>
                <w:sz w:val="28"/>
                <w:szCs w:val="28"/>
                <w:lang w:val="uk-UA"/>
              </w:rPr>
              <w:t>.Кодекс України про адміністративні правопорушення).</w:t>
            </w:r>
            <w:r w:rsidRPr="00A40E2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Типовими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ознаками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b/>
                <w:bCs/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b/>
                <w:bCs/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>) є: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систематичність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повторюваність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діяння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; -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наявність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сторін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кривдник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булер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потерпілий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(жертва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спостерігачі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);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бездіяльність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кривдника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наслідком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заподіяння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психічної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шкоди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приниження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страх,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тривога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ідпорядкування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потерпілого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інтересам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кривдника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, та/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спричинення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ізоляції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потерпілого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Оформлення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подання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заяв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зразок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додається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>).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40E20">
              <w:rPr>
                <w:color w:val="000000"/>
                <w:sz w:val="28"/>
                <w:szCs w:val="28"/>
              </w:rPr>
              <w:t>Заява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заповнюється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розбірливим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почерком.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Виправлення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допускаються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необхідно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вказати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: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ізвище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заявника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адресу фактичного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проживання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контактний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телефон;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- навести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розгорнутий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виклад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фактів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виявлених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);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зазначити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заяви та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ідписати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особисто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. 1.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Заявниками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здобувачі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батьки/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законні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представники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працівники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закладу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особи. </w:t>
            </w:r>
            <w:r w:rsidRPr="00A40E20">
              <w:rPr>
                <w:color w:val="000000"/>
                <w:sz w:val="28"/>
                <w:szCs w:val="28"/>
                <w:vertAlign w:val="superscript"/>
              </w:rPr>
              <w:t xml:space="preserve">ЗАТВЕРДЖЕНО </w:t>
            </w:r>
            <w:r w:rsidRPr="00A40E20">
              <w:rPr>
                <w:color w:val="000000"/>
                <w:sz w:val="28"/>
                <w:szCs w:val="28"/>
              </w:rPr>
              <w:t xml:space="preserve">наказом директора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загальноосвітньої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І-ІІІ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No7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овеля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01.04.2019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No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35 </w:t>
            </w:r>
          </w:p>
          <w:p w:rsidR="00447571" w:rsidRPr="00A40E20" w:rsidRDefault="00447571" w:rsidP="00447571">
            <w:pPr>
              <w:pStyle w:val="a3"/>
              <w:spacing w:before="0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неупереджене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з’ясування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обставин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поданих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заявниками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3. Заяви,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електронну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пошту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отримує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зобов’язана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терміново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повідомити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керівника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установи.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Прийом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реєстрацію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поданих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особисто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5. Заяви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реєструються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окремому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журналі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. 6.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конфіденційності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Default="00447571" w:rsidP="00447571">
            <w:pPr>
              <w:pStyle w:val="a3"/>
              <w:spacing w:before="806" w:beforeAutospacing="0" w:after="0" w:afterAutospacing="0" w:line="360" w:lineRule="auto"/>
              <w:ind w:left="403" w:right="-11" w:firstLine="567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47571" w:rsidRPr="00A40E20" w:rsidRDefault="00447571" w:rsidP="00447571">
            <w:pPr>
              <w:pStyle w:val="a3"/>
              <w:spacing w:before="806" w:beforeAutospacing="0" w:after="0" w:afterAutospacing="0" w:line="360" w:lineRule="auto"/>
              <w:ind w:left="403" w:right="-11"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lastRenderedPageBreak/>
              <w:t>Розгляд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заяв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випадків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булінгу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b/>
                <w:bCs/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b/>
                <w:bCs/>
                <w:color w:val="000000"/>
                <w:sz w:val="28"/>
                <w:szCs w:val="28"/>
              </w:rPr>
              <w:t>) </w:t>
            </w:r>
          </w:p>
          <w:p w:rsidR="00447571" w:rsidRPr="00A40E20" w:rsidRDefault="00447571" w:rsidP="00447571">
            <w:pPr>
              <w:pStyle w:val="a3"/>
              <w:spacing w:before="154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1. За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заявою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визначенням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пізніше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3-ох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робочих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прийняття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заяви.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2. 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складі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педагогічні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працівники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томі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психолог,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соціальний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педагог), батьки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постраждалого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булера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зацікавлені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особи.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своїй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керується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нормативними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документами і актами. </w:t>
            </w:r>
          </w:p>
          <w:p w:rsidR="00447571" w:rsidRPr="00A40E20" w:rsidRDefault="00447571" w:rsidP="00447571">
            <w:pPr>
              <w:pStyle w:val="a3"/>
              <w:spacing w:before="43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уповноважені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особи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мають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право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вимагати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письмові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пояснення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сторін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уповноваженими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особами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упродовж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10-ти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робочих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прийняття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заяви.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Якщо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визначила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булінг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), а не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одноразовий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конфлікт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сварка,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відповідні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носять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систематичний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характер), то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зобов’язаний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повідомити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уповноважені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(ювенальна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поліція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7. У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якщо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кваліфікує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випадок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булінг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постраждалий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згодний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цим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то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він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одразу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звернутись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заявою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кері</w:t>
            </w:r>
            <w:proofErr w:type="gramStart"/>
            <w:r w:rsidRPr="00A40E20">
              <w:rPr>
                <w:color w:val="000000"/>
                <w:sz w:val="28"/>
                <w:szCs w:val="28"/>
              </w:rPr>
              <w:t>вник</w:t>
            </w:r>
            <w:proofErr w:type="spellEnd"/>
            <w:proofErr w:type="gramEnd"/>
            <w:r w:rsidRPr="00A40E20">
              <w:rPr>
                <w:color w:val="000000"/>
                <w:sz w:val="28"/>
                <w:szCs w:val="28"/>
              </w:rPr>
              <w:t xml:space="preserve"> установи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повідомити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постраждалого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приймаються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більшістю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членів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реєструються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окремому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журналі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зберігаються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паперовому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вигляді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оригіналами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підписів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членів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26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Потерпілий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представник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звертатися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відразу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(ювенальна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поліція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повідомленням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випадки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цькування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). </w:t>
            </w:r>
          </w:p>
          <w:p w:rsidR="00447571" w:rsidRPr="00A40E20" w:rsidRDefault="00447571" w:rsidP="00447571">
            <w:pPr>
              <w:pStyle w:val="a3"/>
              <w:spacing w:before="38" w:beforeAutospacing="0" w:after="0" w:afterAutospacing="0" w:line="360" w:lineRule="auto"/>
              <w:ind w:left="1114" w:right="-11" w:firstLine="567"/>
              <w:jc w:val="both"/>
              <w:rPr>
                <w:sz w:val="28"/>
                <w:szCs w:val="28"/>
              </w:rPr>
            </w:pPr>
            <w:r w:rsidRPr="00A40E20">
              <w:rPr>
                <w:color w:val="000000"/>
                <w:sz w:val="28"/>
                <w:szCs w:val="28"/>
              </w:rPr>
              <w:t xml:space="preserve">10. Батьки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зобов’язані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0E20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0E20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20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A40E20">
              <w:rPr>
                <w:color w:val="000000"/>
                <w:sz w:val="28"/>
                <w:szCs w:val="28"/>
              </w:rPr>
              <w:t>. </w:t>
            </w:r>
          </w:p>
          <w:p w:rsidR="00447571" w:rsidRPr="00447571" w:rsidRDefault="00447571" w:rsidP="00447571">
            <w:pPr>
              <w:spacing w:before="75" w:after="75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262" w:rsidRPr="00E4482A" w:rsidRDefault="005F5262">
      <w:pPr>
        <w:rPr>
          <w:sz w:val="24"/>
          <w:szCs w:val="24"/>
        </w:rPr>
      </w:pPr>
    </w:p>
    <w:sectPr w:rsidR="005F5262" w:rsidRPr="00E4482A" w:rsidSect="00E4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6"/>
    <w:rsid w:val="00071F5F"/>
    <w:rsid w:val="0024042C"/>
    <w:rsid w:val="00447571"/>
    <w:rsid w:val="005F5262"/>
    <w:rsid w:val="006C01D6"/>
    <w:rsid w:val="006C0E03"/>
    <w:rsid w:val="007A6AFB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2020-07-28T07:40:00Z</dcterms:created>
  <dcterms:modified xsi:type="dcterms:W3CDTF">2020-07-28T08:35:00Z</dcterms:modified>
</cp:coreProperties>
</file>